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D1" w:rsidRDefault="00FD60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D60D1" w:rsidRDefault="00FD60D1">
      <w:pPr>
        <w:pStyle w:val="ConsPlusNormal"/>
        <w:jc w:val="both"/>
        <w:outlineLvl w:val="0"/>
      </w:pPr>
    </w:p>
    <w:p w:rsidR="00FD60D1" w:rsidRDefault="00FD60D1">
      <w:pPr>
        <w:pStyle w:val="ConsPlusTitle"/>
        <w:jc w:val="center"/>
      </w:pPr>
      <w:r>
        <w:t>ЕВРАЗИЙСКОЕ ЭКОНОМИЧЕСКОЕ СООБЩЕСТВО</w:t>
      </w:r>
    </w:p>
    <w:p w:rsidR="00FD60D1" w:rsidRDefault="00FD60D1">
      <w:pPr>
        <w:pStyle w:val="ConsPlusTitle"/>
        <w:jc w:val="center"/>
      </w:pPr>
    </w:p>
    <w:p w:rsidR="00FD60D1" w:rsidRDefault="00FD60D1">
      <w:pPr>
        <w:pStyle w:val="ConsPlusTitle"/>
        <w:jc w:val="center"/>
      </w:pPr>
      <w:r>
        <w:t>КОМИССИЯ ТАМОЖЕННОГО СОЮЗА</w:t>
      </w:r>
    </w:p>
    <w:p w:rsidR="00FD60D1" w:rsidRDefault="00FD60D1">
      <w:pPr>
        <w:pStyle w:val="ConsPlusTitle"/>
        <w:jc w:val="center"/>
      </w:pPr>
    </w:p>
    <w:p w:rsidR="00FD60D1" w:rsidRDefault="00FD60D1">
      <w:pPr>
        <w:pStyle w:val="ConsPlusTitle"/>
        <w:jc w:val="center"/>
      </w:pPr>
      <w:r>
        <w:t>РЕШЕНИЕ</w:t>
      </w:r>
    </w:p>
    <w:p w:rsidR="00FD60D1" w:rsidRDefault="00FD60D1">
      <w:pPr>
        <w:pStyle w:val="ConsPlusTitle"/>
        <w:jc w:val="center"/>
      </w:pPr>
      <w:r>
        <w:t>от 18 октября 2011 г. N 835</w:t>
      </w:r>
    </w:p>
    <w:p w:rsidR="00FD60D1" w:rsidRDefault="00FD60D1">
      <w:pPr>
        <w:pStyle w:val="ConsPlusTitle"/>
        <w:jc w:val="center"/>
      </w:pPr>
    </w:p>
    <w:p w:rsidR="00FD60D1" w:rsidRDefault="00FD60D1">
      <w:pPr>
        <w:pStyle w:val="ConsPlusTitle"/>
        <w:jc w:val="center"/>
      </w:pPr>
      <w:r>
        <w:t>ОБ ЭКВИВАЛЕНТНОСТИ</w:t>
      </w:r>
    </w:p>
    <w:p w:rsidR="00FD60D1" w:rsidRDefault="00FD60D1">
      <w:pPr>
        <w:pStyle w:val="ConsPlusTitle"/>
        <w:jc w:val="center"/>
      </w:pPr>
      <w:r>
        <w:t>САНИТАРНЫХ, ВЕТЕРИНАРНЫХ И ФИТОСАНИТАРНЫХ МЕР</w:t>
      </w:r>
    </w:p>
    <w:p w:rsidR="00FD60D1" w:rsidRDefault="00FD60D1">
      <w:pPr>
        <w:pStyle w:val="ConsPlusTitle"/>
        <w:jc w:val="center"/>
      </w:pPr>
      <w:r>
        <w:t>И О ПРОВЕДЕНИИ ОЦЕНКИ РИСКА</w:t>
      </w:r>
    </w:p>
    <w:p w:rsidR="00FD60D1" w:rsidRDefault="00FD60D1">
      <w:pPr>
        <w:pStyle w:val="ConsPlusNormal"/>
        <w:jc w:val="center"/>
      </w:pPr>
    </w:p>
    <w:p w:rsidR="00FD60D1" w:rsidRDefault="00FD60D1">
      <w:pPr>
        <w:pStyle w:val="ConsPlusNormal"/>
        <w:jc w:val="center"/>
      </w:pPr>
      <w:r>
        <w:t>Список изменяющих документов</w:t>
      </w:r>
    </w:p>
    <w:p w:rsidR="00FD60D1" w:rsidRDefault="00FD60D1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  <w:proofErr w:type="gramEnd"/>
    </w:p>
    <w:p w:rsidR="00FD60D1" w:rsidRDefault="00FD60D1">
      <w:pPr>
        <w:pStyle w:val="ConsPlusNormal"/>
        <w:jc w:val="center"/>
      </w:pPr>
      <w:r>
        <w:t>от 11.02.2014 N 17)</w:t>
      </w:r>
    </w:p>
    <w:p w:rsidR="00FD60D1" w:rsidRDefault="00FD60D1">
      <w:pPr>
        <w:pStyle w:val="ConsPlusNormal"/>
        <w:ind w:firstLine="540"/>
        <w:jc w:val="both"/>
      </w:pPr>
    </w:p>
    <w:p w:rsidR="00FD60D1" w:rsidRDefault="00FD60D1">
      <w:pPr>
        <w:pStyle w:val="ConsPlusNormal"/>
        <w:ind w:firstLine="540"/>
        <w:jc w:val="both"/>
      </w:pPr>
      <w:r>
        <w:t>Комиссия Таможенного союза решила:</w:t>
      </w:r>
    </w:p>
    <w:p w:rsidR="00FD60D1" w:rsidRDefault="00FD60D1">
      <w:pPr>
        <w:pStyle w:val="ConsPlusNormal"/>
        <w:ind w:firstLine="540"/>
        <w:jc w:val="both"/>
      </w:pPr>
      <w:bookmarkStart w:id="0" w:name="P17"/>
      <w:bookmarkEnd w:id="0"/>
      <w:r>
        <w:t>1. Стороны должны признавать санитарные, ветеринарные и фитосанитарные меры других государств как эквивалентные, даже в случае, если такие меры отличаются от мер Таможенного союза и (или) государств - членов Таможенного союза при условиях, что государство-экспортер:</w:t>
      </w:r>
    </w:p>
    <w:p w:rsidR="00FD60D1" w:rsidRDefault="00FD60D1">
      <w:pPr>
        <w:pStyle w:val="ConsPlusNormal"/>
        <w:ind w:firstLine="540"/>
        <w:jc w:val="both"/>
      </w:pPr>
      <w:r>
        <w:t>- объективно доказывает, что его меры позволяют достичь надлежащего уровня санитарной и (или) ветеринарной защиты Таможенного союза или фитосанитарной защиты государства - члена Таможенного союза;</w:t>
      </w:r>
    </w:p>
    <w:p w:rsidR="00FD60D1" w:rsidRDefault="00FD60D1">
      <w:pPr>
        <w:pStyle w:val="ConsPlusNormal"/>
        <w:ind w:firstLine="540"/>
        <w:jc w:val="both"/>
      </w:pPr>
      <w:r>
        <w:t>- обеспечивает для такой цели государствам - членам Таможенного союза, по их запросу, разумный доступ для проведения проверок, испытаний, а также для других соответствующих процедур.</w:t>
      </w:r>
    </w:p>
    <w:p w:rsidR="00FD60D1" w:rsidRDefault="00FD60D1">
      <w:pPr>
        <w:pStyle w:val="ConsPlusNormal"/>
        <w:ind w:firstLine="540"/>
        <w:jc w:val="both"/>
      </w:pPr>
      <w:r>
        <w:t>2. Стороны должны проводить совместные консультации с государствами-экспортерами с целью заключения двусторонних и многосторонних договоров о признании эквивалентности определенных санитарных, ветеринарных или фитосанитарных мер.</w:t>
      </w:r>
    </w:p>
    <w:p w:rsidR="00FD60D1" w:rsidRDefault="00FD60D1">
      <w:pPr>
        <w:pStyle w:val="ConsPlusNormal"/>
        <w:ind w:firstLine="540"/>
        <w:jc w:val="both"/>
      </w:pPr>
      <w:r>
        <w:t>3. Запрос о проведении таких консультаций должен быть направлен заинтересованным государством-экспортером в уполномоченный орган Стороны. Такой запрос должен включать в себя соответствующую научно обоснованную информацию для обеспечения объективного доказательства того, что применяемые государством-экспортером меры, признание которых запрашивается, позволяют достичь надлежащего уровня защиты, определенного Таможенным союзом или Стороной. Такая информация должна включать в себя, помимо прочего, следующее:</w:t>
      </w:r>
    </w:p>
    <w:p w:rsidR="00FD60D1" w:rsidRDefault="00FD60D1">
      <w:pPr>
        <w:pStyle w:val="ConsPlusNormal"/>
        <w:ind w:firstLine="540"/>
        <w:jc w:val="both"/>
      </w:pPr>
      <w:r>
        <w:t>- предлагаемый вид соглашения о признании эквивалентности;</w:t>
      </w:r>
    </w:p>
    <w:p w:rsidR="00FD60D1" w:rsidRDefault="00FD60D1">
      <w:pPr>
        <w:pStyle w:val="ConsPlusNormal"/>
        <w:ind w:firstLine="540"/>
        <w:jc w:val="both"/>
      </w:pPr>
      <w:r>
        <w:t>- описание продукта (продуктов) государства-экспортера, меры (мер) или системы надзора (контроля) или инспектирования, в отношении которых направляется запрос о признании эквивалентности;</w:t>
      </w:r>
    </w:p>
    <w:p w:rsidR="00FD60D1" w:rsidRDefault="00FD60D1">
      <w:pPr>
        <w:pStyle w:val="ConsPlusNormal"/>
        <w:ind w:firstLine="540"/>
        <w:jc w:val="both"/>
      </w:pPr>
      <w:r>
        <w:t>- наименование компетентного органа (органов) для каждого продукта, меры или системы, в отношении которых направляется запрос о признании эквивалентности;</w:t>
      </w:r>
    </w:p>
    <w:p w:rsidR="00FD60D1" w:rsidRDefault="00FD60D1">
      <w:pPr>
        <w:pStyle w:val="ConsPlusNormal"/>
        <w:ind w:firstLine="540"/>
        <w:jc w:val="both"/>
      </w:pPr>
      <w:r>
        <w:t>- перечень продуктов, меры (мер) или системы (систем), на которые будет распространяться соглашение;</w:t>
      </w:r>
    </w:p>
    <w:p w:rsidR="00FD60D1" w:rsidRDefault="00FD60D1">
      <w:pPr>
        <w:pStyle w:val="ConsPlusNormal"/>
        <w:ind w:firstLine="540"/>
        <w:jc w:val="both"/>
      </w:pPr>
      <w:r>
        <w:t>- ссылки на соответствующие международные стандарты или соответствующую оценку риска;</w:t>
      </w:r>
    </w:p>
    <w:p w:rsidR="00FD60D1" w:rsidRDefault="00FD60D1">
      <w:pPr>
        <w:pStyle w:val="ConsPlusNormal"/>
        <w:ind w:firstLine="540"/>
        <w:jc w:val="both"/>
      </w:pPr>
      <w:r>
        <w:t>- оценка того, каким образом мера (меры) или система (системы) государства-экспортера достигают надлежащего уровня санитарной или ветеринарной защиты Таможенного союза или фитосанитарной защиты Стороны;</w:t>
      </w:r>
    </w:p>
    <w:p w:rsidR="00FD60D1" w:rsidRDefault="00FD60D1">
      <w:pPr>
        <w:pStyle w:val="ConsPlusNormal"/>
        <w:ind w:firstLine="540"/>
        <w:jc w:val="both"/>
      </w:pPr>
      <w:r>
        <w:t>- информация о том, как мера (меры) или система (системы) оцениваются, каким образом применяется мера на практике;</w:t>
      </w:r>
    </w:p>
    <w:p w:rsidR="00FD60D1" w:rsidRDefault="00FD60D1">
      <w:pPr>
        <w:pStyle w:val="ConsPlusNormal"/>
        <w:ind w:firstLine="540"/>
        <w:jc w:val="both"/>
      </w:pPr>
      <w:r>
        <w:t>- информация о технических возможностях и возможностях применения предлагаемых альтернативных мер.</w:t>
      </w:r>
    </w:p>
    <w:p w:rsidR="00FD60D1" w:rsidRDefault="00FD60D1">
      <w:pPr>
        <w:pStyle w:val="ConsPlusNormal"/>
        <w:ind w:firstLine="540"/>
        <w:jc w:val="both"/>
      </w:pPr>
      <w:r>
        <w:lastRenderedPageBreak/>
        <w:t>Запрос, включающий необходимую информацию, предоставляется на официальном языке Стороны, в уполномоченный орган которой направлен запрос.</w:t>
      </w:r>
    </w:p>
    <w:p w:rsidR="00FD60D1" w:rsidRDefault="00FD60D1">
      <w:pPr>
        <w:pStyle w:val="ConsPlusNormal"/>
        <w:ind w:firstLine="540"/>
        <w:jc w:val="both"/>
      </w:pPr>
      <w:r>
        <w:t>4. По запросу Сторона должна предоставить государству-экспортеру объяснение надлежащего уровня защиты.</w:t>
      </w:r>
    </w:p>
    <w:p w:rsidR="00FD60D1" w:rsidRDefault="00FD60D1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у Стороны имеется обеспокоенность относительно запроса или предоставленной информации, она должна уведомить об этом уполномоченные органы государства-экспортера, направившего запрос, при первой возможности, а также разъяснить причины такой обеспокоенности. Государство-экспортер, направившее запрос, должно ответить на такую </w:t>
      </w:r>
      <w:proofErr w:type="gramStart"/>
      <w:r>
        <w:t>обеспокоенность</w:t>
      </w:r>
      <w:proofErr w:type="gramEnd"/>
      <w:r>
        <w:t xml:space="preserve"> путем предоставления дальнейшей информации, изменив запрос или приняв другие действия, обозначенные Стороной.</w:t>
      </w:r>
    </w:p>
    <w:p w:rsidR="00FD60D1" w:rsidRDefault="00FD60D1">
      <w:pPr>
        <w:pStyle w:val="ConsPlusNormal"/>
        <w:ind w:firstLine="540"/>
        <w:jc w:val="both"/>
      </w:pPr>
      <w:r>
        <w:t xml:space="preserve">6. При рассмотрении запроса Стороны должны рассмотреть информацию, указанную в </w:t>
      </w:r>
      <w:hyperlink w:anchor="P17" w:history="1">
        <w:r>
          <w:rPr>
            <w:color w:val="0000FF"/>
          </w:rPr>
          <w:t>пункте 1</w:t>
        </w:r>
      </w:hyperlink>
      <w:r>
        <w:t>, с целью определения, позволяют ли меры достичь надлежащего уровня защиты.</w:t>
      </w:r>
    </w:p>
    <w:p w:rsidR="00FD60D1" w:rsidRDefault="00FD60D1">
      <w:pPr>
        <w:pStyle w:val="ConsPlusNormal"/>
        <w:ind w:firstLine="540"/>
        <w:jc w:val="both"/>
      </w:pPr>
      <w:r>
        <w:t>7. Во время рассмотрения запроса может потребоваться дополнительная информация, которая запрашивается уполномоченными органами Стороны. Такая информация должна быть предоставлена государством-экспортером, направившим запрос.</w:t>
      </w:r>
    </w:p>
    <w:p w:rsidR="00FD60D1" w:rsidRDefault="00FD60D1">
      <w:pPr>
        <w:pStyle w:val="ConsPlusNormal"/>
        <w:ind w:firstLine="540"/>
        <w:jc w:val="both"/>
      </w:pPr>
      <w:r>
        <w:t>8. Государство-экспортер должно по запросу предоставить доступ к соответствующей информации и сайтам для облегчения рассмотрения материалов, инспекциям, а также разрешить другие формы проверки, необходимые для определения эквивалентности.</w:t>
      </w:r>
    </w:p>
    <w:p w:rsidR="00FD60D1" w:rsidRDefault="00FD60D1">
      <w:pPr>
        <w:pStyle w:val="ConsPlusNormal"/>
        <w:ind w:firstLine="540"/>
        <w:jc w:val="both"/>
      </w:pPr>
      <w:r>
        <w:t>9. Стороны своевременно уведомляют государство-экспортер, направившее запрос, о своем решении относительно признания эквивалентности мер (меры) в соответствии с направленным запросом и предоставляют разъяснения принятого решения, в соответствии с которым меры не были признаны эквивалентными.</w:t>
      </w:r>
    </w:p>
    <w:p w:rsidR="00FD60D1" w:rsidRDefault="00FD60D1">
      <w:pPr>
        <w:pStyle w:val="ConsPlusNormal"/>
        <w:ind w:firstLine="540"/>
        <w:jc w:val="both"/>
      </w:pPr>
      <w:r>
        <w:t>10. Могут быть установлены процедуры аудита, сертификации и мониторинга, которые включаются в план или соглашение, которые применяются в отношении любой меры, признанной эквивалентной.</w:t>
      </w:r>
    </w:p>
    <w:p w:rsidR="00FD60D1" w:rsidRDefault="00FD60D1">
      <w:pPr>
        <w:pStyle w:val="ConsPlusNormal"/>
        <w:ind w:firstLine="540"/>
        <w:jc w:val="both"/>
      </w:pPr>
      <w:r>
        <w:t xml:space="preserve">10.1. </w:t>
      </w:r>
      <w:proofErr w:type="gramStart"/>
      <w:r>
        <w:t xml:space="preserve">Установление эквивалентности санитарных, ветеринарно-санитарных и фитосанитарных мер проводится в соответствии с Методическими указаниями по оценке эквивалентности санитарных мер, связанных с системой контроля и сертификации пищевых продуктов </w:t>
      </w:r>
      <w:hyperlink r:id="rId7" w:history="1">
        <w:r>
          <w:rPr>
            <w:color w:val="0000FF"/>
          </w:rPr>
          <w:t>(CAC/GL 53-2003)</w:t>
        </w:r>
      </w:hyperlink>
      <w:r>
        <w:t>, Методическими указаниями по разработке соглашений о признании эквивалентности систем контроля и сертификации импорта и экспорта пищевых продуктов (CAC/GL 34-1999) Комиссии Кодекса Алиментариус, Кодексом наземных и водных животных Международного эпизоотического бюро</w:t>
      </w:r>
      <w:proofErr w:type="gramEnd"/>
      <w:r>
        <w:t xml:space="preserve"> и Руководством по установлению и признанию эквивалентности фитосанитарных мер Международной </w:t>
      </w:r>
      <w:hyperlink r:id="rId8" w:history="1">
        <w:r>
          <w:rPr>
            <w:color w:val="0000FF"/>
          </w:rPr>
          <w:t>конвенции</w:t>
        </w:r>
      </w:hyperlink>
      <w:r>
        <w:t xml:space="preserve"> по карантину и защите растений (ISPM-24).</w:t>
      </w:r>
    </w:p>
    <w:p w:rsidR="00FD60D1" w:rsidRDefault="00FD60D1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11.02.2014 N 17)</w:t>
      </w:r>
    </w:p>
    <w:p w:rsidR="00FD60D1" w:rsidRDefault="00FD60D1">
      <w:pPr>
        <w:pStyle w:val="ConsPlusNormal"/>
        <w:ind w:firstLine="540"/>
        <w:jc w:val="both"/>
      </w:pPr>
      <w:r>
        <w:t>10.2. Эквивалентность может быть признана в отношении отдельной меры или нескольких мер, связанных с отдельным товаром или группой товаров, или на системной основе. Стороны при необходимости стремятся признавать эквивалентность санитарной, ветеринарно-санитарной или фитосанитарной меры (мер) в отношении отдельного товара или группы товаров. При необходимости также проводится оценка инфраструктуры и порядка производства товаров, в отношении которых применяется мера (меры). Стороны и государство-экспортер могут заключать системные соглашения о признании эквивалентности. Признание эквивалентности меры (мер) в отношении отдельного товара или группы товаров не требует обязательной разработки соглашения о признании эквивалентности.</w:t>
      </w:r>
    </w:p>
    <w:p w:rsidR="00FD60D1" w:rsidRDefault="00FD6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10.2 введен </w:t>
      </w:r>
      <w:hyperlink r:id="rId10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11.02.2014 N 17)</w:t>
      </w:r>
    </w:p>
    <w:p w:rsidR="00FD60D1" w:rsidRDefault="00FD60D1">
      <w:pPr>
        <w:pStyle w:val="ConsPlusNormal"/>
        <w:ind w:firstLine="540"/>
        <w:jc w:val="both"/>
      </w:pPr>
      <w:r>
        <w:t>10.3. Государство-импортер должно своевременно отвечать на запросы государства-экспортера о признании эквивалентности мер. Срок подготовки и направления соответствующего ответа на запрос не может превышать 6 месяцев.</w:t>
      </w:r>
    </w:p>
    <w:p w:rsidR="00FD60D1" w:rsidRDefault="00FD6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10.3 введен </w:t>
      </w:r>
      <w:hyperlink r:id="rId11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11.02.2014 N 17)</w:t>
      </w:r>
    </w:p>
    <w:p w:rsidR="00FD60D1" w:rsidRDefault="00FD60D1">
      <w:pPr>
        <w:pStyle w:val="ConsPlusNormal"/>
        <w:ind w:firstLine="540"/>
        <w:jc w:val="both"/>
      </w:pPr>
      <w:r>
        <w:t>10.4. В случае признания эквивалентности санитарной, ветеринарно-санитарной или фитосанитарной меры (мер) государства-экспортера такое государство и Стороны при необходимости могут оформить признание эквивалентности меры (мер) в установленном порядке. Государство-импортер оказывает содействие ускорению процедуры установления соответствия в отношении товаров, ранее ввозимых из такого государства-экспортера.</w:t>
      </w:r>
    </w:p>
    <w:p w:rsidR="00FD60D1" w:rsidRDefault="00FD60D1">
      <w:pPr>
        <w:pStyle w:val="ConsPlusNormal"/>
        <w:jc w:val="both"/>
      </w:pPr>
      <w:r>
        <w:lastRenderedPageBreak/>
        <w:t xml:space="preserve">(п. 10.4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11.02.2014 N 17)</w:t>
      </w:r>
    </w:p>
    <w:p w:rsidR="00FD60D1" w:rsidRDefault="00FD60D1">
      <w:pPr>
        <w:pStyle w:val="ConsPlusNormal"/>
        <w:ind w:firstLine="540"/>
        <w:jc w:val="both"/>
      </w:pPr>
      <w:r>
        <w:t>10.5. Применяемая государством-экспортером санитарная, ветеринарно-санитарная или фитосанитарная мера (меры) в отношении производимого товара, признанная эквивалентной, считается соответствующей эквивалентной мере (мерам) государства-импортера. После признания эквивалентности меры (мер) в отношении отдельного товара или группы товаров ввоз товара из третьей страны на территорию Таможенного союза осуществляется на основе презумпции того, что такая мера (меры) применяется третьей страной в отношении отдельного товара или группы товаров. Признание эквивалентности может повлечь за собой иные меры, направленные на облегчение торговли, в том числе сокращение количества проверок или отбора проб товара для определения соответствия такого товара требованиям государства-импортера или исключение дополнительных проверок.</w:t>
      </w:r>
    </w:p>
    <w:p w:rsidR="00FD60D1" w:rsidRDefault="00FD60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10.5 введен </w:t>
      </w:r>
      <w:hyperlink r:id="rId13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11.02.2014 N 17)</w:t>
      </w:r>
    </w:p>
    <w:p w:rsidR="00FD60D1" w:rsidRDefault="00FD60D1">
      <w:pPr>
        <w:pStyle w:val="ConsPlusNormal"/>
        <w:ind w:firstLine="540"/>
        <w:jc w:val="both"/>
      </w:pPr>
      <w:r>
        <w:t>11. Оценка риска понимается как оценка вероятности проникновения, укоренения или распространения вредителя или болезни на территории государства-импортера в соответствии с санитарными, ветеринарными и фитосанитарными мерами, которые могут быть применены, а также с ассоциированными потенциальными биологическими и экономическими последствиями; или оценкой потенциально неблагоприятных эффектов для здоровья человека или животного, вызванных наличием в пищевых продуктах, напитках или кормах добавок, контаминантов, токсинов или патогенных микроорганизмов.</w:t>
      </w:r>
    </w:p>
    <w:p w:rsidR="00FD60D1" w:rsidRDefault="00FD60D1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Стороны должны обеспечить, чтобы санитарные, ветеринарные и фитосанитарные меры основывались на соответствующей оценке рисков жизни или здоровью человека, животного или растения, с учетом методик оценки риска, разработанных соответствующими международными организациями, включая Комиссию Кодекс Алиментариус, Международное эпизоотическое бюро, а также соответствующими международными и региональными организациями, действующими в рамках Международной </w:t>
      </w:r>
      <w:hyperlink r:id="rId14" w:history="1">
        <w:r>
          <w:rPr>
            <w:color w:val="0000FF"/>
          </w:rPr>
          <w:t>конвенции</w:t>
        </w:r>
      </w:hyperlink>
      <w:r>
        <w:t xml:space="preserve"> по карантину и защите растений.</w:t>
      </w:r>
      <w:proofErr w:type="gramEnd"/>
    </w:p>
    <w:p w:rsidR="00FD60D1" w:rsidRDefault="00FD60D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11.02.2014 N 17)</w:t>
      </w:r>
    </w:p>
    <w:p w:rsidR="00FD60D1" w:rsidRDefault="00FD60D1">
      <w:pPr>
        <w:pStyle w:val="ConsPlusNormal"/>
        <w:ind w:firstLine="540"/>
        <w:jc w:val="both"/>
      </w:pPr>
      <w:r>
        <w:t>13. В отношении оценки рисков Стороны должны учитывать доступные научные данные, соответствующие методы производства и переработки, проведение соответствующих инспекций, методики отбора проб и испытаний, распространение отдельных видов болезней и вредителей, существование зон, свободных от вредителей или болезней, соответствующие экологические условия, условия окружающей среды, возможность карантина и других видов обработки.</w:t>
      </w:r>
    </w:p>
    <w:p w:rsidR="00FD60D1" w:rsidRDefault="00FD60D1">
      <w:pPr>
        <w:pStyle w:val="ConsPlusNormal"/>
        <w:ind w:firstLine="540"/>
        <w:jc w:val="both"/>
      </w:pPr>
      <w:r>
        <w:t xml:space="preserve">14. </w:t>
      </w:r>
      <w:proofErr w:type="gramStart"/>
      <w:r>
        <w:t>При оценке риска для жизни или здоровья человека, животных или растений и определении меры, которая должна быть применена для достижения необходимого уровня санитарной, ветеринарной или фитосанитарной защиты от такого риска, Стороны должны учитывать соответствующие экономические факторы: потенциальный ущерб от снижения объема производства или продаж, в случае проникновения, укоренения или распространения какого-либо вредителя или заболевания, расходы по борьбе с ними или</w:t>
      </w:r>
      <w:proofErr w:type="gramEnd"/>
      <w:r>
        <w:t xml:space="preserve"> их искоренению на территории Сторон и относительное соотношение затрат и эффективности альтернативных подходов к ограничению рисков.</w:t>
      </w:r>
    </w:p>
    <w:p w:rsidR="00FD60D1" w:rsidRDefault="00FD60D1">
      <w:pPr>
        <w:pStyle w:val="ConsPlusNormal"/>
        <w:ind w:firstLine="540"/>
        <w:jc w:val="both"/>
      </w:pPr>
      <w:r>
        <w:t>15. При определении надлежащего уровня санитарной, ветеринарной или фитосанитарной защиты Стороны должны принимать во внимание задачу минимизации негативного воздействия на торговлю.</w:t>
      </w:r>
    </w:p>
    <w:p w:rsidR="00FD60D1" w:rsidRDefault="00FD60D1">
      <w:pPr>
        <w:pStyle w:val="ConsPlusNormal"/>
        <w:ind w:firstLine="540"/>
        <w:jc w:val="both"/>
      </w:pPr>
      <w:r>
        <w:t>16. Стороны должны избегать спорных и необоснованных отличий уровней защиты, которые определяются в различных ситуациях, если такие отличия могут повлечь за собой дискриминацию или скрытые ограничения торговли, с целью достижения последовательности при применении концепции надлежащего уровня ветеринарной, санитарной или фитосанитарной защиты от рисков для жизни и здоровья человека, животных или растений.</w:t>
      </w:r>
    </w:p>
    <w:p w:rsidR="00FD60D1" w:rsidRDefault="00FD60D1">
      <w:pPr>
        <w:pStyle w:val="ConsPlusNormal"/>
        <w:ind w:firstLine="540"/>
        <w:jc w:val="both"/>
      </w:pPr>
      <w:r>
        <w:t xml:space="preserve">17. Настоящее Решение вступает в силу в порядке, предусмотренном </w:t>
      </w:r>
      <w:hyperlink r:id="rId16" w:history="1">
        <w:r>
          <w:rPr>
            <w:color w:val="0000FF"/>
          </w:rPr>
          <w:t>статьей 8</w:t>
        </w:r>
      </w:hyperlink>
      <w:r>
        <w:t xml:space="preserve"> Договора о Комиссии Таможенного союза от 6 октября 2007 г., но не ранее даты присоединения первой из Сторон к Всемирной торговой организации.</w:t>
      </w:r>
    </w:p>
    <w:p w:rsidR="00FD60D1" w:rsidRDefault="00FD60D1">
      <w:pPr>
        <w:pStyle w:val="ConsPlusNormal"/>
        <w:ind w:firstLine="540"/>
        <w:jc w:val="both"/>
      </w:pPr>
    </w:p>
    <w:p w:rsidR="00FD60D1" w:rsidRDefault="00FD60D1">
      <w:pPr>
        <w:pStyle w:val="ConsPlusNormal"/>
        <w:jc w:val="center"/>
      </w:pPr>
      <w:r>
        <w:t>Члены Комиссии Таможенного союза:</w:t>
      </w:r>
    </w:p>
    <w:p w:rsidR="00FD60D1" w:rsidRDefault="00FD60D1">
      <w:pPr>
        <w:pStyle w:val="ConsPlusNormal"/>
        <w:ind w:firstLine="540"/>
        <w:jc w:val="both"/>
      </w:pPr>
    </w:p>
    <w:p w:rsidR="00FD60D1" w:rsidRDefault="00FD60D1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 О</w:t>
      </w:r>
      <w:proofErr w:type="gramEnd"/>
      <w:r>
        <w:t>т Республики             От Российской</w:t>
      </w:r>
    </w:p>
    <w:p w:rsidR="00FD60D1" w:rsidRDefault="00FD60D1">
      <w:pPr>
        <w:pStyle w:val="ConsPlusCell"/>
        <w:jc w:val="both"/>
      </w:pPr>
      <w:r>
        <w:lastRenderedPageBreak/>
        <w:t xml:space="preserve">       Беларусь                   Казахстан                 Федерации</w:t>
      </w:r>
    </w:p>
    <w:p w:rsidR="00FD60D1" w:rsidRDefault="00FD60D1">
      <w:pPr>
        <w:pStyle w:val="ConsPlusCell"/>
        <w:jc w:val="both"/>
      </w:pPr>
      <w:r>
        <w:t xml:space="preserve">      (Подпись)                   (Подпись)                 (Подпись)</w:t>
      </w:r>
    </w:p>
    <w:p w:rsidR="00FD60D1" w:rsidRDefault="00FD60D1">
      <w:pPr>
        <w:pStyle w:val="ConsPlusCell"/>
        <w:jc w:val="both"/>
      </w:pPr>
      <w:r>
        <w:t xml:space="preserve">       С.РУМАС                    У.ШУКЕЕВ                  И.ШУВАЛОВ</w:t>
      </w:r>
    </w:p>
    <w:p w:rsidR="00FD60D1" w:rsidRDefault="00FD60D1">
      <w:pPr>
        <w:pStyle w:val="ConsPlusNormal"/>
        <w:ind w:firstLine="540"/>
        <w:jc w:val="both"/>
      </w:pPr>
    </w:p>
    <w:p w:rsidR="00FD60D1" w:rsidRDefault="00FD60D1">
      <w:pPr>
        <w:pStyle w:val="ConsPlusNormal"/>
        <w:ind w:firstLine="540"/>
        <w:jc w:val="both"/>
      </w:pPr>
    </w:p>
    <w:p w:rsidR="00FD60D1" w:rsidRDefault="00FD6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4A3" w:rsidRDefault="00FD60D1">
      <w:bookmarkStart w:id="1" w:name="_GoBack"/>
      <w:bookmarkEnd w:id="1"/>
    </w:p>
    <w:sectPr w:rsidR="001804A3" w:rsidSect="00EB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D1"/>
    <w:rsid w:val="000B6F61"/>
    <w:rsid w:val="005158D3"/>
    <w:rsid w:val="00FD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6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60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6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BD42081B367F441B75FB76C643F799A4D1DFC5C039DC8541322QAB4I" TargetMode="External"/><Relationship Id="rId13" Type="http://schemas.openxmlformats.org/officeDocument/2006/relationships/hyperlink" Target="consultantplus://offline/ref=E29BD42081B367F441B75AB86F643F79934C1CF55151CACA05462CA1096FAFF2B20947DF202A3D01Q5BC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9BD42081B367F441B75FB76C643F79974F14F8545E97C00D1F20A3Q0BEI" TargetMode="External"/><Relationship Id="rId12" Type="http://schemas.openxmlformats.org/officeDocument/2006/relationships/hyperlink" Target="consultantplus://offline/ref=E29BD42081B367F441B75AB86F643F79934C1CF55151CACA05462CA1096FAFF2B20947DF202A3D01Q5BD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9BD42081B367F441B75AB86F643F79934913F4505DCACA05462CA1096FAFF2B20947DF202A3D07Q5B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BD42081B367F441B75AB86F643F79934C1CF55151CACA05462CA1096FAFF2B20947DF202A3D00Q5BCI" TargetMode="External"/><Relationship Id="rId11" Type="http://schemas.openxmlformats.org/officeDocument/2006/relationships/hyperlink" Target="consultantplus://offline/ref=E29BD42081B367F441B75AB86F643F79934C1CF55151CACA05462CA1096FAFF2B20947DF202A3D01Q5B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9BD42081B367F441B75AB86F643F79934C1CF55151CACA05462CA1096FAFF2B20947DF202A3D01Q5BFI" TargetMode="External"/><Relationship Id="rId10" Type="http://schemas.openxmlformats.org/officeDocument/2006/relationships/hyperlink" Target="consultantplus://offline/ref=E29BD42081B367F441B75AB86F643F79934C1CF55151CACA05462CA1096FAFF2B20947DF202A3D01Q5B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9BD42081B367F441B75AB86F643F79934C1CF55151CACA05462CA1096FAFF2B20947DF202A3D01Q5B9I" TargetMode="External"/><Relationship Id="rId14" Type="http://schemas.openxmlformats.org/officeDocument/2006/relationships/hyperlink" Target="consultantplus://offline/ref=E29BD42081B367F441B75FB76C643F799A4D1DFC5C039DC8541322QAB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1885</Words>
  <Characters>10745</Characters>
  <Application>Microsoft Office Word</Application>
  <DocSecurity>0</DocSecurity>
  <Lines>89</Lines>
  <Paragraphs>25</Paragraphs>
  <ScaleCrop>false</ScaleCrop>
  <Company/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Ефимов</dc:creator>
  <cp:keywords/>
  <dc:description/>
  <cp:lastModifiedBy>Александр А. Ефимов</cp:lastModifiedBy>
  <cp:revision>1</cp:revision>
  <dcterms:created xsi:type="dcterms:W3CDTF">2017-03-20T08:01:00Z</dcterms:created>
  <dcterms:modified xsi:type="dcterms:W3CDTF">2017-03-20T08:01:00Z</dcterms:modified>
</cp:coreProperties>
</file>